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607"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906"/>
      </w:tblGrid>
      <w:tr w:rsidR="00A111E8" w:rsidRPr="00A111E8" w:rsidTr="00233118">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4D57A1">
              <w:rPr>
                <w:rFonts w:ascii="Times New Roman" w:eastAsia="Calibri" w:hAnsi="Times New Roman" w:cs="Times New Roman"/>
                <w:b/>
                <w:sz w:val="18"/>
                <w:szCs w:val="18"/>
                <w:u w:val="single"/>
              </w:rPr>
              <w:t>June</w:t>
            </w:r>
            <w:r w:rsidR="00AA0478">
              <w:rPr>
                <w:rFonts w:ascii="Times New Roman" w:eastAsia="Calibri" w:hAnsi="Times New Roman" w:cs="Times New Roman"/>
                <w:b/>
                <w:sz w:val="18"/>
                <w:szCs w:val="18"/>
                <w:u w:val="single"/>
              </w:rPr>
              <w:t xml:space="preserve">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 xml:space="preserve">_______      </w:t>
            </w:r>
            <w:r w:rsidR="00AA0478">
              <w:rPr>
                <w:rFonts w:ascii="Times New Roman" w:eastAsia="Calibri" w:hAnsi="Times New Roman" w:cs="Times New Roman"/>
                <w:b/>
                <w:sz w:val="18"/>
                <w:szCs w:val="18"/>
              </w:rPr>
              <w:t xml:space="preserve">                           </w:t>
            </w:r>
            <w:r w:rsidRPr="00A111E8">
              <w:rPr>
                <w:rFonts w:ascii="Times New Roman" w:eastAsia="Calibri" w:hAnsi="Times New Roman" w:cs="Times New Roman"/>
                <w:b/>
                <w:sz w:val="18"/>
                <w:szCs w:val="18"/>
              </w:rPr>
              <w:t>Total Internship hours at the start of the month:</w:t>
            </w:r>
          </w:p>
        </w:tc>
        <w:tc>
          <w:tcPr>
            <w:tcW w:w="906" w:type="dxa"/>
            <w:tcBorders>
              <w:bottom w:val="single" w:sz="4" w:space="0" w:color="595959"/>
            </w:tcBorders>
            <w:shd w:val="clear" w:color="auto" w:fill="F2F2F2"/>
          </w:tcPr>
          <w:p w:rsidR="00A111E8" w:rsidRPr="00AA0478" w:rsidRDefault="00E17EB4" w:rsidP="00A111E8">
            <w:pPr>
              <w:spacing w:before="60" w:after="60" w:line="240" w:lineRule="auto"/>
              <w:ind w:left="-108"/>
              <w:jc w:val="center"/>
              <w:rPr>
                <w:rFonts w:ascii="Times New Roman" w:eastAsia="Calibri" w:hAnsi="Times New Roman" w:cs="Times New Roman"/>
                <w:b/>
                <w:sz w:val="18"/>
                <w:szCs w:val="18"/>
              </w:rPr>
            </w:pPr>
            <w:r>
              <w:rPr>
                <w:rFonts w:ascii="Times New Roman" w:eastAsia="Calibri" w:hAnsi="Times New Roman" w:cs="Times New Roman"/>
                <w:b/>
                <w:sz w:val="24"/>
                <w:szCs w:val="24"/>
              </w:rPr>
              <w:t>1956.2</w:t>
            </w:r>
          </w:p>
        </w:tc>
      </w:tr>
      <w:tr w:rsidR="00A111E8" w:rsidRPr="00A111E8" w:rsidTr="00233118">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90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233118">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1E0575" w:rsidP="009210E0">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 .5 day at school took that to prepare for daughter’s graduation</w:t>
            </w:r>
          </w:p>
        </w:tc>
        <w:tc>
          <w:tcPr>
            <w:tcW w:w="906"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1E0575"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0</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906"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7261C7">
            <w:pPr>
              <w:tabs>
                <w:tab w:val="left" w:pos="1377"/>
              </w:tabs>
              <w:spacing w:before="60" w:after="60" w:line="240" w:lineRule="auto"/>
              <w:rPr>
                <w:rFonts w:ascii="Times New Roman" w:eastAsia="Calibri" w:hAnsi="Times New Roman" w:cs="Times New Roman"/>
                <w:sz w:val="18"/>
                <w:szCs w:val="18"/>
              </w:rPr>
            </w:pPr>
          </w:p>
        </w:tc>
        <w:tc>
          <w:tcPr>
            <w:tcW w:w="906"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EE763D" w:rsidP="00EE763D">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Installed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w:t>
            </w:r>
            <w:proofErr w:type="gramStart"/>
            <w:r>
              <w:rPr>
                <w:rFonts w:ascii="Times New Roman" w:eastAsia="Calibri" w:hAnsi="Times New Roman" w:cs="Times New Roman"/>
                <w:sz w:val="18"/>
                <w:szCs w:val="18"/>
              </w:rPr>
              <w:t>updates  grade</w:t>
            </w:r>
            <w:proofErr w:type="gramEnd"/>
            <w:r>
              <w:rPr>
                <w:rFonts w:ascii="Times New Roman" w:eastAsia="Calibri" w:hAnsi="Times New Roman" w:cs="Times New Roman"/>
                <w:sz w:val="18"/>
                <w:szCs w:val="18"/>
              </w:rPr>
              <w:t xml:space="preserve"> reporting not working.  Backed up servers, snap </w:t>
            </w:r>
            <w:proofErr w:type="gramStart"/>
            <w:r>
              <w:rPr>
                <w:rFonts w:ascii="Times New Roman" w:eastAsia="Calibri" w:hAnsi="Times New Roman" w:cs="Times New Roman"/>
                <w:sz w:val="18"/>
                <w:szCs w:val="18"/>
              </w:rPr>
              <w:t>shots ,etc</w:t>
            </w:r>
            <w:proofErr w:type="gramEnd"/>
            <w:r>
              <w:rPr>
                <w:rFonts w:ascii="Times New Roman" w:eastAsia="Calibri" w:hAnsi="Times New Roman" w:cs="Times New Roman"/>
                <w:sz w:val="18"/>
                <w:szCs w:val="18"/>
              </w:rPr>
              <w:t xml:space="preserve">. contacted Region center sent files to Region 3.  Attended both the GT workshop and the CSCOPE implantation planning session.  Continued troubleshooting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Pricing Dell servers, printers, </w:t>
            </w:r>
            <w:proofErr w:type="spellStart"/>
            <w:r>
              <w:rPr>
                <w:rFonts w:ascii="Times New Roman" w:eastAsia="Calibri" w:hAnsi="Times New Roman" w:cs="Times New Roman"/>
                <w:sz w:val="18"/>
                <w:szCs w:val="18"/>
              </w:rPr>
              <w:t>Amer</w:t>
            </w:r>
            <w:proofErr w:type="spellEnd"/>
            <w:r>
              <w:rPr>
                <w:rFonts w:ascii="Times New Roman" w:eastAsia="Calibri" w:hAnsi="Times New Roman" w:cs="Times New Roman"/>
                <w:sz w:val="18"/>
                <w:szCs w:val="18"/>
              </w:rPr>
              <w:t xml:space="preserve"> Switches.  Contacted the Telephone company to determine their timeline for installation.  Uploaded DCIMP’s and fixed HS AEIS Link issue on website.  Dell Tech Support sought for </w:t>
            </w:r>
            <w:proofErr w:type="spellStart"/>
            <w:r>
              <w:rPr>
                <w:rFonts w:ascii="Times New Roman" w:eastAsia="Calibri" w:hAnsi="Times New Roman" w:cs="Times New Roman"/>
                <w:sz w:val="18"/>
                <w:szCs w:val="18"/>
              </w:rPr>
              <w:t>Nic</w:t>
            </w:r>
            <w:proofErr w:type="spellEnd"/>
            <w:r>
              <w:rPr>
                <w:rFonts w:ascii="Times New Roman" w:eastAsia="Calibri" w:hAnsi="Times New Roman" w:cs="Times New Roman"/>
                <w:sz w:val="18"/>
                <w:szCs w:val="18"/>
              </w:rPr>
              <w:t xml:space="preserve"> card errors seeing on the Host Machine.</w:t>
            </w:r>
          </w:p>
        </w:tc>
        <w:tc>
          <w:tcPr>
            <w:tcW w:w="906"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EE763D"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49.4</w:t>
            </w:r>
          </w:p>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906"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EE763D"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sz w:val="18"/>
                <w:szCs w:val="18"/>
              </w:rPr>
              <w:t>Superintendent discussed abbreviated summer hours and needs estimated expenditures for remainder of summer to repair and upgrade servers, switches, etc. and budget for next year.  She also asked that I attend the CSCOPE discussion with Region 3 staff on Wednesday.  Which I did.  We worked out a tentative workshop plan and implementation plan.</w:t>
            </w:r>
          </w:p>
        </w:tc>
        <w:tc>
          <w:tcPr>
            <w:tcW w:w="906"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EE763D" w:rsidP="00E956BE">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Contacted </w:t>
            </w:r>
            <w:proofErr w:type="spellStart"/>
            <w:r>
              <w:rPr>
                <w:rFonts w:ascii="Times New Roman" w:eastAsia="Calibri" w:hAnsi="Times New Roman" w:cs="Times New Roman"/>
                <w:sz w:val="18"/>
                <w:szCs w:val="18"/>
              </w:rPr>
              <w:t>TxVsn</w:t>
            </w:r>
            <w:proofErr w:type="spellEnd"/>
            <w:r>
              <w:rPr>
                <w:rFonts w:ascii="Times New Roman" w:eastAsia="Calibri" w:hAnsi="Times New Roman" w:cs="Times New Roman"/>
                <w:sz w:val="18"/>
                <w:szCs w:val="18"/>
              </w:rPr>
              <w:t xml:space="preserve">, looked for minutes of school board meetings discussing Technology plan, had final approval of </w:t>
            </w:r>
            <w:proofErr w:type="spellStart"/>
            <w:r>
              <w:rPr>
                <w:rFonts w:ascii="Times New Roman" w:eastAsia="Calibri" w:hAnsi="Times New Roman" w:cs="Times New Roman"/>
                <w:sz w:val="18"/>
                <w:szCs w:val="18"/>
              </w:rPr>
              <w:t>Cipa</w:t>
            </w:r>
            <w:proofErr w:type="spellEnd"/>
            <w:r>
              <w:rPr>
                <w:rFonts w:ascii="Times New Roman" w:eastAsia="Calibri" w:hAnsi="Times New Roman" w:cs="Times New Roman"/>
                <w:sz w:val="18"/>
                <w:szCs w:val="18"/>
              </w:rPr>
              <w:t xml:space="preserve"> compliant Responsible Use policies discussed, reviewed, and approved by school board added to agenda of school board meeting for next week.  </w:t>
            </w:r>
            <w:r w:rsidR="00E956BE">
              <w:rPr>
                <w:rFonts w:ascii="Times New Roman" w:eastAsia="Calibri" w:hAnsi="Times New Roman" w:cs="Times New Roman"/>
                <w:sz w:val="18"/>
                <w:szCs w:val="18"/>
              </w:rPr>
              <w:t xml:space="preserve">Extended account login time period for kids in speech.  Pursued pricing for server and contacted the phone system vendor about phone lines, etc. To be sure to order necessary lines, for new phones.  Seems there is a problem, started trying to figure out what type of service is actually available to our district. Holding up phone order because vendor needs to order either an analog brain or a digital </w:t>
            </w:r>
            <w:proofErr w:type="spellStart"/>
            <w:r w:rsidR="00E956BE">
              <w:rPr>
                <w:rFonts w:ascii="Times New Roman" w:eastAsia="Calibri" w:hAnsi="Times New Roman" w:cs="Times New Roman"/>
                <w:sz w:val="18"/>
                <w:szCs w:val="18"/>
              </w:rPr>
              <w:t>brain.Ordered</w:t>
            </w:r>
            <w:proofErr w:type="spellEnd"/>
            <w:r w:rsidR="00E956BE">
              <w:rPr>
                <w:rFonts w:ascii="Times New Roman" w:eastAsia="Calibri" w:hAnsi="Times New Roman" w:cs="Times New Roman"/>
                <w:sz w:val="18"/>
                <w:szCs w:val="18"/>
              </w:rPr>
              <w:t xml:space="preserve"> New AD Dell workstation.  Re-installed </w:t>
            </w:r>
            <w:proofErr w:type="spellStart"/>
            <w:r w:rsidR="00E956BE">
              <w:rPr>
                <w:rFonts w:ascii="Times New Roman" w:eastAsia="Calibri" w:hAnsi="Times New Roman" w:cs="Times New Roman"/>
                <w:sz w:val="18"/>
                <w:szCs w:val="18"/>
              </w:rPr>
              <w:t>TxEIS</w:t>
            </w:r>
            <w:proofErr w:type="spellEnd"/>
            <w:r w:rsidR="00E956BE">
              <w:rPr>
                <w:rFonts w:ascii="Times New Roman" w:eastAsia="Calibri" w:hAnsi="Times New Roman" w:cs="Times New Roman"/>
                <w:sz w:val="18"/>
                <w:szCs w:val="18"/>
              </w:rPr>
              <w:t xml:space="preserve"> software.</w:t>
            </w:r>
          </w:p>
        </w:tc>
        <w:tc>
          <w:tcPr>
            <w:tcW w:w="906" w:type="dxa"/>
            <w:vMerge w:val="restart"/>
            <w:tcBorders>
              <w:top w:val="single" w:sz="12" w:space="0" w:color="595959"/>
            </w:tcBorders>
            <w:shd w:val="clear" w:color="auto" w:fill="F2F2F2"/>
            <w:vAlign w:val="center"/>
          </w:tcPr>
          <w:p w:rsidR="00A111E8" w:rsidRPr="00A111E8" w:rsidRDefault="00E956BE" w:rsidP="00233118">
            <w:pPr>
              <w:spacing w:before="60" w:after="6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49.3</w:t>
            </w: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906"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EE763D" w:rsidP="00E956BE">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Superintendent, Counselor, &amp; Principal want me to g</w:t>
            </w:r>
            <w:r w:rsidR="00E956BE">
              <w:rPr>
                <w:rFonts w:ascii="Times New Roman" w:eastAsia="Calibri" w:hAnsi="Times New Roman" w:cs="Times New Roman"/>
                <w:sz w:val="18"/>
                <w:szCs w:val="18"/>
              </w:rPr>
              <w:t xml:space="preserve">et the </w:t>
            </w:r>
            <w:proofErr w:type="spellStart"/>
            <w:r w:rsidR="00E956BE">
              <w:rPr>
                <w:rFonts w:ascii="Times New Roman" w:eastAsia="Calibri" w:hAnsi="Times New Roman" w:cs="Times New Roman"/>
                <w:sz w:val="18"/>
                <w:szCs w:val="18"/>
              </w:rPr>
              <w:t>TxVSN</w:t>
            </w:r>
            <w:proofErr w:type="spellEnd"/>
            <w:r w:rsidR="00E956BE">
              <w:rPr>
                <w:rFonts w:ascii="Times New Roman" w:eastAsia="Calibri" w:hAnsi="Times New Roman" w:cs="Times New Roman"/>
                <w:sz w:val="18"/>
                <w:szCs w:val="18"/>
              </w:rPr>
              <w:t xml:space="preserve"> school set up for </w:t>
            </w:r>
            <w:r>
              <w:rPr>
                <w:rFonts w:ascii="Times New Roman" w:eastAsia="Calibri" w:hAnsi="Times New Roman" w:cs="Times New Roman"/>
                <w:sz w:val="18"/>
                <w:szCs w:val="18"/>
              </w:rPr>
              <w:t xml:space="preserve">Physics classes and possibly other course work.  With the Scholarship applications we made, it should be free.  Discussed the </w:t>
            </w:r>
            <w:r>
              <w:rPr>
                <w:rFonts w:ascii="Times New Roman" w:eastAsia="Calibri" w:hAnsi="Times New Roman" w:cs="Times New Roman"/>
                <w:sz w:val="18"/>
                <w:szCs w:val="18"/>
              </w:rPr>
              <w:lastRenderedPageBreak/>
              <w:t>necessity to be sure Responsible Use Policy previously approved  and adopted</w:t>
            </w:r>
            <w:r w:rsidR="00E956BE">
              <w:rPr>
                <w:rFonts w:ascii="Times New Roman" w:eastAsia="Calibri" w:hAnsi="Times New Roman" w:cs="Times New Roman"/>
                <w:sz w:val="18"/>
                <w:szCs w:val="18"/>
              </w:rPr>
              <w:t xml:space="preserve"> </w:t>
            </w:r>
            <w:r w:rsidR="00E956BE">
              <w:rPr>
                <w:rFonts w:ascii="Times New Roman" w:eastAsia="Calibri" w:hAnsi="Times New Roman" w:cs="Times New Roman"/>
                <w:sz w:val="18"/>
                <w:szCs w:val="18"/>
              </w:rPr>
              <w:t>by school boar</w:t>
            </w:r>
            <w:r w:rsidR="00E956BE">
              <w:rPr>
                <w:rFonts w:ascii="Times New Roman" w:eastAsia="Calibri" w:hAnsi="Times New Roman" w:cs="Times New Roman"/>
                <w:sz w:val="18"/>
                <w:szCs w:val="18"/>
              </w:rPr>
              <w:t>d discussed and noted in minutes of June school board meeting to be able to correctly file the last year of the three year plan that will expire on June 30, 2013.  Additionally informed her that this is the year a new three year plan must be adopted; therefore, we will need to complete surveys, etc. as the year gets underway.</w:t>
            </w:r>
          </w:p>
        </w:tc>
        <w:tc>
          <w:tcPr>
            <w:tcW w:w="906"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lastRenderedPageBreak/>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E956BE" w:rsidP="000A6238">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Completed PO’s for needed equipment, software.  Checked </w:t>
            </w:r>
            <w:proofErr w:type="spellStart"/>
            <w:r>
              <w:rPr>
                <w:rFonts w:ascii="Times New Roman" w:eastAsia="Calibri" w:hAnsi="Times New Roman" w:cs="Times New Roman"/>
                <w:sz w:val="18"/>
                <w:szCs w:val="18"/>
              </w:rPr>
              <w:t>Netwol</w:t>
            </w:r>
            <w:proofErr w:type="spellEnd"/>
            <w:r>
              <w:rPr>
                <w:rFonts w:ascii="Times New Roman" w:eastAsia="Calibri" w:hAnsi="Times New Roman" w:cs="Times New Roman"/>
                <w:sz w:val="18"/>
                <w:szCs w:val="18"/>
              </w:rPr>
              <w:t xml:space="preserve"> to be sure DNS server settings correct.  </w:t>
            </w:r>
            <w:r w:rsidR="00A33049">
              <w:rPr>
                <w:rFonts w:ascii="Times New Roman" w:eastAsia="Calibri" w:hAnsi="Times New Roman" w:cs="Times New Roman"/>
                <w:sz w:val="18"/>
                <w:szCs w:val="18"/>
              </w:rPr>
              <w:t xml:space="preserve">Loaded Avira on Principal’s computer, it found 4 JAVA bugs.  Removed </w:t>
            </w:r>
            <w:proofErr w:type="spellStart"/>
            <w:r w:rsidR="00A33049">
              <w:rPr>
                <w:rFonts w:ascii="Times New Roman" w:eastAsia="Calibri" w:hAnsi="Times New Roman" w:cs="Times New Roman"/>
                <w:sz w:val="18"/>
                <w:szCs w:val="18"/>
              </w:rPr>
              <w:t>Harddisk</w:t>
            </w:r>
            <w:proofErr w:type="spellEnd"/>
            <w:r w:rsidR="00A33049">
              <w:rPr>
                <w:rFonts w:ascii="Times New Roman" w:eastAsia="Calibri" w:hAnsi="Times New Roman" w:cs="Times New Roman"/>
                <w:sz w:val="18"/>
                <w:szCs w:val="18"/>
              </w:rPr>
              <w:t xml:space="preserve"> started from scratch.    Blocker Printer prepped for school board meeting.  Further research on process to migrate to SRVR 2008 R2 and exchange 2007 SP3 and/or 2010.  Region 3 called to work on server, there were settings in DB that prevented the online piece from working., but they have no idea what ports should/should not be open for all to work correctly.  In accordance with what Dell technician </w:t>
            </w:r>
            <w:proofErr w:type="gramStart"/>
            <w:r w:rsidR="00A33049">
              <w:rPr>
                <w:rFonts w:ascii="Times New Roman" w:eastAsia="Calibri" w:hAnsi="Times New Roman" w:cs="Times New Roman"/>
                <w:sz w:val="18"/>
                <w:szCs w:val="18"/>
              </w:rPr>
              <w:t>said,</w:t>
            </w:r>
            <w:proofErr w:type="gramEnd"/>
            <w:r w:rsidR="00A33049">
              <w:rPr>
                <w:rFonts w:ascii="Times New Roman" w:eastAsia="Calibri" w:hAnsi="Times New Roman" w:cs="Times New Roman"/>
                <w:sz w:val="18"/>
                <w:szCs w:val="18"/>
              </w:rPr>
              <w:t xml:space="preserve"> best to do…. Created a whole new server for DB. Re-installed and configured from scratch.  Region 20 logged in and checked setup, pronounced it correct. All the inconsistencies in printing reports, etc. are gone.  Checked with phone and ATT/Texan 2000 at DIR, cannot seem to get definitive answer as to what service we can/cannot get for our phones.</w:t>
            </w:r>
            <w:r w:rsidR="00634CD4">
              <w:rPr>
                <w:rFonts w:ascii="Times New Roman" w:eastAsia="Calibri" w:hAnsi="Times New Roman" w:cs="Times New Roman"/>
                <w:sz w:val="18"/>
                <w:szCs w:val="18"/>
              </w:rPr>
              <w:t xml:space="preserve"> Note discovered backup process I thought was working is not.</w:t>
            </w:r>
          </w:p>
        </w:tc>
        <w:tc>
          <w:tcPr>
            <w:tcW w:w="906" w:type="dxa"/>
            <w:vMerge w:val="restart"/>
            <w:tcBorders>
              <w:top w:val="single" w:sz="12" w:space="0" w:color="595959"/>
            </w:tcBorders>
            <w:shd w:val="clear" w:color="auto" w:fill="FFFFFF"/>
            <w:vAlign w:val="center"/>
          </w:tcPr>
          <w:p w:rsidR="00A111E8" w:rsidRPr="00A111E8" w:rsidRDefault="00A33049"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62.5</w:t>
            </w: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906"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E956BE"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Discussed “</w:t>
            </w:r>
            <w:proofErr w:type="spellStart"/>
            <w:r>
              <w:rPr>
                <w:rFonts w:ascii="Times New Roman" w:eastAsia="Calibri" w:hAnsi="Times New Roman" w:cs="Times New Roman"/>
                <w:sz w:val="18"/>
                <w:szCs w:val="18"/>
              </w:rPr>
              <w:t>wishlist</w:t>
            </w:r>
            <w:proofErr w:type="spellEnd"/>
            <w:r>
              <w:rPr>
                <w:rFonts w:ascii="Times New Roman" w:eastAsia="Calibri" w:hAnsi="Times New Roman" w:cs="Times New Roman"/>
                <w:sz w:val="18"/>
                <w:szCs w:val="18"/>
              </w:rPr>
              <w:t xml:space="preserve">” got approval to order server, </w:t>
            </w:r>
            <w:proofErr w:type="spellStart"/>
            <w:r>
              <w:rPr>
                <w:rFonts w:ascii="Times New Roman" w:eastAsia="Calibri" w:hAnsi="Times New Roman" w:cs="Times New Roman"/>
                <w:sz w:val="18"/>
                <w:szCs w:val="18"/>
              </w:rPr>
              <w:t>Amer</w:t>
            </w:r>
            <w:proofErr w:type="spellEnd"/>
            <w:r>
              <w:rPr>
                <w:rFonts w:ascii="Times New Roman" w:eastAsia="Calibri" w:hAnsi="Times New Roman" w:cs="Times New Roman"/>
                <w:sz w:val="18"/>
                <w:szCs w:val="18"/>
              </w:rPr>
              <w:t xml:space="preserve"> Switch upgrade/replacements</w:t>
            </w:r>
            <w:proofErr w:type="gramStart"/>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AR,Avira</w:t>
            </w:r>
            <w:proofErr w:type="spellEnd"/>
            <w:proofErr w:type="gramEnd"/>
            <w:r>
              <w:rPr>
                <w:rFonts w:ascii="Times New Roman" w:eastAsia="Calibri" w:hAnsi="Times New Roman" w:cs="Times New Roman"/>
                <w:sz w:val="18"/>
                <w:szCs w:val="18"/>
              </w:rPr>
              <w:t xml:space="preserve"> AV and  ink to finish summer.</w:t>
            </w:r>
            <w:r w:rsidR="00A33049">
              <w:rPr>
                <w:rFonts w:ascii="Times New Roman" w:eastAsia="Calibri" w:hAnsi="Times New Roman" w:cs="Times New Roman"/>
                <w:sz w:val="18"/>
                <w:szCs w:val="18"/>
              </w:rPr>
              <w:t xml:space="preserve">  Seemed to approve budget requests for next year, even additional network training without any argument (what’s going on?)</w:t>
            </w:r>
          </w:p>
        </w:tc>
        <w:tc>
          <w:tcPr>
            <w:tcW w:w="906"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A33049" w:rsidP="00CF53B9">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Power outage, went in to try to help servers down to avoid repeat of April.  Power came back on before I got servers turned off, </w:t>
            </w:r>
            <w:proofErr w:type="spellStart"/>
            <w:r>
              <w:rPr>
                <w:rFonts w:ascii="Times New Roman" w:eastAsia="Calibri" w:hAnsi="Times New Roman" w:cs="Times New Roman"/>
                <w:sz w:val="18"/>
                <w:szCs w:val="18"/>
              </w:rPr>
              <w:t>fcbigd</w:t>
            </w:r>
            <w:proofErr w:type="spellEnd"/>
            <w:r>
              <w:rPr>
                <w:rFonts w:ascii="Times New Roman" w:eastAsia="Calibri" w:hAnsi="Times New Roman" w:cs="Times New Roman"/>
                <w:sz w:val="18"/>
                <w:szCs w:val="18"/>
              </w:rPr>
              <w:t xml:space="preserve"> was off, </w:t>
            </w:r>
            <w:proofErr w:type="spellStart"/>
            <w:proofErr w:type="gramStart"/>
            <w:r>
              <w:rPr>
                <w:rFonts w:ascii="Times New Roman" w:eastAsia="Calibri" w:hAnsi="Times New Roman" w:cs="Times New Roman"/>
                <w:sz w:val="18"/>
                <w:szCs w:val="18"/>
              </w:rPr>
              <w:t>TxEIS</w:t>
            </w:r>
            <w:proofErr w:type="spellEnd"/>
            <w:proofErr w:type="gramEnd"/>
            <w:r>
              <w:rPr>
                <w:rFonts w:ascii="Times New Roman" w:eastAsia="Calibri" w:hAnsi="Times New Roman" w:cs="Times New Roman"/>
                <w:sz w:val="18"/>
                <w:szCs w:val="18"/>
              </w:rPr>
              <w:t xml:space="preserve"> still up.  </w:t>
            </w:r>
            <w:r w:rsidR="00634CD4">
              <w:rPr>
                <w:rFonts w:ascii="Times New Roman" w:eastAsia="Calibri" w:hAnsi="Times New Roman" w:cs="Times New Roman"/>
                <w:sz w:val="18"/>
                <w:szCs w:val="18"/>
              </w:rPr>
              <w:t xml:space="preserve">Switches throughout turned off, I just left them off since no teachers are supposed to be here anyway and new switches are on their way.  I had to reconfigure the webserver’s </w:t>
            </w:r>
            <w:proofErr w:type="spellStart"/>
            <w:r w:rsidR="00634CD4">
              <w:rPr>
                <w:rFonts w:ascii="Times New Roman" w:eastAsia="Calibri" w:hAnsi="Times New Roman" w:cs="Times New Roman"/>
                <w:sz w:val="18"/>
                <w:szCs w:val="18"/>
              </w:rPr>
              <w:t>Nic</w:t>
            </w:r>
            <w:proofErr w:type="spellEnd"/>
            <w:r w:rsidR="00634CD4">
              <w:rPr>
                <w:rFonts w:ascii="Times New Roman" w:eastAsia="Calibri" w:hAnsi="Times New Roman" w:cs="Times New Roman"/>
                <w:sz w:val="18"/>
                <w:szCs w:val="18"/>
              </w:rPr>
              <w:t xml:space="preserve"> other than that @ OK.  Setting up new server in new domain and tree, little glitches. Re-installed from scratch.  @ OK second time around.  DB machine on Tx11 reporting it needs a different version of integrated services. Found fix, did it, looks OK now.  Altx1- Installed Altx2 with windows 2008R2Ent. </w:t>
            </w:r>
            <w:proofErr w:type="spellStart"/>
            <w:r w:rsidR="00634CD4">
              <w:rPr>
                <w:rFonts w:ascii="Times New Roman" w:eastAsia="Calibri" w:hAnsi="Times New Roman" w:cs="Times New Roman"/>
                <w:sz w:val="18"/>
                <w:szCs w:val="18"/>
              </w:rPr>
              <w:t>Kworking</w:t>
            </w:r>
            <w:proofErr w:type="spellEnd"/>
            <w:r w:rsidR="00634CD4">
              <w:rPr>
                <w:rFonts w:ascii="Times New Roman" w:eastAsia="Calibri" w:hAnsi="Times New Roman" w:cs="Times New Roman"/>
                <w:sz w:val="18"/>
                <w:szCs w:val="18"/>
              </w:rPr>
              <w:t xml:space="preserve"> together now, found Migration tool and tons of instructions after multiple attempts </w:t>
            </w:r>
            <w:proofErr w:type="spellStart"/>
            <w:r w:rsidR="00634CD4">
              <w:rPr>
                <w:rFonts w:ascii="Times New Roman" w:eastAsia="Calibri" w:hAnsi="Times New Roman" w:cs="Times New Roman"/>
                <w:sz w:val="18"/>
                <w:szCs w:val="18"/>
              </w:rPr>
              <w:t>fot</w:t>
            </w:r>
            <w:proofErr w:type="spellEnd"/>
            <w:r w:rsidR="00634CD4">
              <w:rPr>
                <w:rFonts w:ascii="Times New Roman" w:eastAsia="Calibri" w:hAnsi="Times New Roman" w:cs="Times New Roman"/>
                <w:sz w:val="18"/>
                <w:szCs w:val="18"/>
              </w:rPr>
              <w:t xml:space="preserve"> it work to some degree.  Priced Quill paper and </w:t>
            </w:r>
            <w:proofErr w:type="spellStart"/>
            <w:r w:rsidR="00634CD4">
              <w:rPr>
                <w:rFonts w:ascii="Times New Roman" w:eastAsia="Calibri" w:hAnsi="Times New Roman" w:cs="Times New Roman"/>
                <w:sz w:val="18"/>
                <w:szCs w:val="18"/>
              </w:rPr>
              <w:t>ink.a</w:t>
            </w:r>
            <w:proofErr w:type="spellEnd"/>
          </w:p>
        </w:tc>
        <w:tc>
          <w:tcPr>
            <w:tcW w:w="906"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33049"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51.2</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906"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634CD4" w:rsidP="009210E0">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Requested interview time with Ms. Blocker.</w:t>
            </w:r>
            <w:bookmarkStart w:id="0" w:name="_GoBack"/>
            <w:bookmarkEnd w:id="0"/>
          </w:p>
        </w:tc>
        <w:tc>
          <w:tcPr>
            <w:tcW w:w="906"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906" w:type="dxa"/>
            <w:tcBorders>
              <w:top w:val="single" w:sz="12" w:space="0" w:color="595959"/>
              <w:bottom w:val="single" w:sz="12" w:space="0" w:color="595959"/>
            </w:tcBorders>
          </w:tcPr>
          <w:p w:rsidR="00A111E8" w:rsidRPr="00A111E8" w:rsidRDefault="00E17EB4"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212.4</w:t>
            </w:r>
          </w:p>
        </w:tc>
      </w:tr>
      <w:tr w:rsidR="00A111E8" w:rsidRPr="00A111E8" w:rsidTr="00233118">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906" w:type="dxa"/>
            <w:tcBorders>
              <w:top w:val="single" w:sz="12" w:space="0" w:color="595959"/>
            </w:tcBorders>
            <w:shd w:val="clear" w:color="auto" w:fill="F2F2F2"/>
          </w:tcPr>
          <w:p w:rsidR="00A111E8" w:rsidRPr="00A111E8" w:rsidRDefault="009210E0" w:rsidP="00A111E8">
            <w:pPr>
              <w:spacing w:before="60" w:after="60" w:line="240" w:lineRule="auto"/>
              <w:ind w:left="-108"/>
              <w:jc w:val="center"/>
              <w:rPr>
                <w:rFonts w:ascii="Times New Roman" w:eastAsia="Calibri" w:hAnsi="Times New Roman" w:cs="Times New Roman"/>
                <w:b/>
                <w:sz w:val="24"/>
                <w:szCs w:val="24"/>
              </w:rPr>
            </w:pPr>
            <w:r w:rsidRPr="009210E0">
              <w:rPr>
                <w:rFonts w:ascii="Times New Roman" w:eastAsia="Calibri" w:hAnsi="Times New Roman" w:cs="Times New Roman"/>
                <w:b/>
                <w:sz w:val="24"/>
                <w:szCs w:val="24"/>
              </w:rPr>
              <w:t>2169.02</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47C" w:rsidRDefault="00A6347C" w:rsidP="00A111E8">
      <w:pPr>
        <w:spacing w:after="0" w:line="240" w:lineRule="auto"/>
      </w:pPr>
      <w:r>
        <w:separator/>
      </w:r>
    </w:p>
  </w:endnote>
  <w:endnote w:type="continuationSeparator" w:id="0">
    <w:p w:rsidR="00A6347C" w:rsidRDefault="00A6347C"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47C" w:rsidRDefault="00A6347C" w:rsidP="00A111E8">
      <w:pPr>
        <w:spacing w:after="0" w:line="240" w:lineRule="auto"/>
      </w:pPr>
      <w:r>
        <w:separator/>
      </w:r>
    </w:p>
  </w:footnote>
  <w:footnote w:type="continuationSeparator" w:id="0">
    <w:p w:rsidR="00A6347C" w:rsidRDefault="00A6347C"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D24753">
      <w:rPr>
        <w:rFonts w:ascii="Times New Roman" w:eastAsia="Calibri" w:hAnsi="Times New Roman" w:cs="Times New Roman"/>
        <w:sz w:val="24"/>
        <w:szCs w:val="24"/>
      </w:rPr>
      <w:t>artz: SID: L20052259 1</w:t>
    </w:r>
    <w:r w:rsidR="00BE7492">
      <w:rPr>
        <w:rFonts w:ascii="Times New Roman" w:eastAsia="Calibri" w:hAnsi="Times New Roman" w:cs="Times New Roman"/>
        <w:sz w:val="24"/>
        <w:szCs w:val="24"/>
      </w:rPr>
      <w:t>4</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BE7492">
      <w:rPr>
        <w:rFonts w:ascii="Times New Roman" w:eastAsia="Calibri" w:hAnsi="Times New Roman" w:cs="Times New Roman"/>
        <w:sz w:val="24"/>
        <w:szCs w:val="24"/>
      </w:rPr>
      <w:t>June</w:t>
    </w:r>
    <w:r w:rsidR="00F9355A">
      <w:rPr>
        <w:rFonts w:ascii="Times New Roman" w:eastAsia="Calibri" w:hAnsi="Times New Roman" w:cs="Times New Roman"/>
        <w:sz w:val="24"/>
        <w:szCs w:val="24"/>
      </w:rPr>
      <w:t xml:space="preserve">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0A6238"/>
    <w:rsid w:val="00186C85"/>
    <w:rsid w:val="00195EA5"/>
    <w:rsid w:val="001E0575"/>
    <w:rsid w:val="001E338B"/>
    <w:rsid w:val="00205A75"/>
    <w:rsid w:val="002065B6"/>
    <w:rsid w:val="002105C4"/>
    <w:rsid w:val="0022563E"/>
    <w:rsid w:val="00233118"/>
    <w:rsid w:val="002D7079"/>
    <w:rsid w:val="00312B79"/>
    <w:rsid w:val="003925AE"/>
    <w:rsid w:val="00452FDD"/>
    <w:rsid w:val="0047503A"/>
    <w:rsid w:val="004D57A1"/>
    <w:rsid w:val="0058422F"/>
    <w:rsid w:val="005F24DE"/>
    <w:rsid w:val="006162D3"/>
    <w:rsid w:val="00634CD4"/>
    <w:rsid w:val="006A3A78"/>
    <w:rsid w:val="00722EDF"/>
    <w:rsid w:val="007261C7"/>
    <w:rsid w:val="00757FA8"/>
    <w:rsid w:val="00781DA7"/>
    <w:rsid w:val="00816785"/>
    <w:rsid w:val="008A78C2"/>
    <w:rsid w:val="009210E0"/>
    <w:rsid w:val="0093404F"/>
    <w:rsid w:val="00985F47"/>
    <w:rsid w:val="00995347"/>
    <w:rsid w:val="009E3C70"/>
    <w:rsid w:val="009F408D"/>
    <w:rsid w:val="00A111E8"/>
    <w:rsid w:val="00A33049"/>
    <w:rsid w:val="00A6347C"/>
    <w:rsid w:val="00AA0478"/>
    <w:rsid w:val="00B2369E"/>
    <w:rsid w:val="00B86B64"/>
    <w:rsid w:val="00BE7492"/>
    <w:rsid w:val="00CF53B9"/>
    <w:rsid w:val="00D24753"/>
    <w:rsid w:val="00E17EB4"/>
    <w:rsid w:val="00E87DB6"/>
    <w:rsid w:val="00E956BE"/>
    <w:rsid w:val="00EA1EC2"/>
    <w:rsid w:val="00EE6C9D"/>
    <w:rsid w:val="00EE763D"/>
    <w:rsid w:val="00EF119C"/>
    <w:rsid w:val="00F00A34"/>
    <w:rsid w:val="00F50DF8"/>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6</cp:revision>
  <dcterms:created xsi:type="dcterms:W3CDTF">2012-07-08T23:27:00Z</dcterms:created>
  <dcterms:modified xsi:type="dcterms:W3CDTF">2012-07-09T00:21:00Z</dcterms:modified>
</cp:coreProperties>
</file>